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Koszty stałe w rozliczeniu mediów - jak je kontrolować?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wiesz, czym są &lt;b&gt;koszty stałe w rozliczeniu mediów&lt;/b&gt; i w jaki sposób je kontrolować? Wyjaśniamy to w dzisiejszym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Rozliczenia mediów - rozwiewamy wątpliwości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Koszty stałe w rozliczeniu mediów</w:t>
      </w:r>
      <w:r>
        <w:rPr>
          <w:rFonts w:ascii="calibri" w:hAnsi="calibri" w:eastAsia="calibri" w:cs="calibri"/>
          <w:sz w:val="24"/>
          <w:szCs w:val="24"/>
        </w:rPr>
        <w:t xml:space="preserve"> to powszechna praktyka stosowana przez większość wspólnot mieszkaniowych. Na czym to polega i w jaki sposób prowadzić ten proces tak, by przestrzegać terminów i przepisów? Prezentujemy odpowiedzi na najczęstsze pytania, które pytają w tej sprawie. Zapraszamy do lektury!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czego wynikają koszty stałe w rozliczeniu mediów?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wspólnota mieszkaniowa powinna zawrzeć umowy z dostawcami prądu czy gazu, tak by zapewnić mieszkańcom budynku właściwe warunki.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Koszty stałe w rozliczeniu mediów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wynikają z tychże kontraktów. To, jak wysokie będą, wiąże się przede wszystkim z zapotrzebowaniem ciepła i energii. Wpływa na to także stan budowli, czyli jego izolacja techniczna, rodzaj okien i inne. Wszelkie opłaty powinny być rozliczane w oparciu o uchwałę wspólnoty mieszkaniowej.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3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Inne popularne pytania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Kwestia </w:t>
      </w:r>
      <w:r>
        <w:rPr>
          <w:rFonts w:ascii="calibri" w:hAnsi="calibri" w:eastAsia="calibri" w:cs="calibri"/>
          <w:sz w:val="24"/>
          <w:szCs w:val="24"/>
          <w:b/>
        </w:rPr>
        <w:t xml:space="preserve">kosztów stałych w rozliczeniu mediów</w:t>
      </w:r>
      <w:r>
        <w:rPr>
          <w:rFonts w:ascii="calibri" w:hAnsi="calibri" w:eastAsia="calibri" w:cs="calibri"/>
          <w:sz w:val="24"/>
          <w:szCs w:val="24"/>
        </w:rPr>
        <w:t xml:space="preserve"> jest jedną z najczęściej poruszanych, jeśli chodzi o pytania mieszkańców. Inne popularne sprawy to między innymi te związane ze zgłaszaniem usterek w mieszkaniach, a także z aktami notarialnymi miejsc w garażu. Równie często przewija się także temat monitoringu - kto jest odpowiedzialny za jego montaż i utrzymanie. Na te wszystkie pytania odpowiadamy na specjalnej podstronie na naszej stronie internetowej. Zachęcamy do zapoznania się z odpowiedziami.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tatus.pl/moje-pytani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2024-05-18T11:02:04+02:00</dcterms:created>
  <dcterms:modified xsi:type="dcterms:W3CDTF">2024-05-18T11:02:04+02:00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